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904" w:rsidRDefault="00C67904" w:rsidP="00021D7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b/>
        </w:rPr>
      </w:pPr>
      <w:bookmarkStart w:id="0" w:name="_GoBack"/>
      <w:bookmarkEnd w:id="0"/>
    </w:p>
    <w:p w:rsidR="00C67904" w:rsidRDefault="00C67904" w:rsidP="00021D7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b/>
        </w:rPr>
      </w:pPr>
    </w:p>
    <w:p w:rsidR="00F82770" w:rsidRPr="004F0977" w:rsidRDefault="00F82770" w:rsidP="00F82770">
      <w:pPr>
        <w:pStyle w:val="Header"/>
        <w:spacing w:after="960"/>
        <w:rPr>
          <w:sz w:val="36"/>
          <w:szCs w:val="36"/>
        </w:rPr>
      </w:pPr>
      <w:r w:rsidRPr="004F0977">
        <w:rPr>
          <w:noProof/>
          <w:sz w:val="36"/>
          <w:szCs w:val="36"/>
        </w:rPr>
        <w:drawing>
          <wp:anchor distT="0" distB="0" distL="114300" distR="114300" simplePos="0" relativeHeight="251659264" behindDoc="1" locked="0" layoutInCell="1" allowOverlap="1" wp14:anchorId="3615AF7E" wp14:editId="78FA52F5">
            <wp:simplePos x="0" y="0"/>
            <wp:positionH relativeFrom="column">
              <wp:posOffset>0</wp:posOffset>
            </wp:positionH>
            <wp:positionV relativeFrom="margin">
              <wp:posOffset>-228600</wp:posOffset>
            </wp:positionV>
            <wp:extent cx="987552" cy="987552"/>
            <wp:effectExtent l="0" t="0" r="3175" b="3175"/>
            <wp:wrapTight wrapText="right">
              <wp:wrapPolygon edited="0">
                <wp:start x="8751" y="0"/>
                <wp:lineTo x="5417" y="833"/>
                <wp:lineTo x="417" y="5001"/>
                <wp:lineTo x="0" y="8334"/>
                <wp:lineTo x="0" y="14585"/>
                <wp:lineTo x="4167" y="20003"/>
                <wp:lineTo x="7918" y="21253"/>
                <wp:lineTo x="8334" y="21253"/>
                <wp:lineTo x="12918" y="21253"/>
                <wp:lineTo x="13752" y="21253"/>
                <wp:lineTo x="17502" y="20003"/>
                <wp:lineTo x="21253" y="14585"/>
                <wp:lineTo x="21253" y="4584"/>
                <wp:lineTo x="15419" y="417"/>
                <wp:lineTo x="12085" y="0"/>
                <wp:lineTo x="875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_cl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7552" cy="987552"/>
                    </a:xfrm>
                    <a:prstGeom prst="rect">
                      <a:avLst/>
                    </a:prstGeom>
                  </pic:spPr>
                </pic:pic>
              </a:graphicData>
            </a:graphic>
            <wp14:sizeRelH relativeFrom="page">
              <wp14:pctWidth>0</wp14:pctWidth>
            </wp14:sizeRelH>
            <wp14:sizeRelV relativeFrom="page">
              <wp14:pctHeight>0</wp14:pctHeight>
            </wp14:sizeRelV>
          </wp:anchor>
        </w:drawing>
      </w:r>
      <w:r w:rsidRPr="004F0977">
        <w:rPr>
          <w:noProof/>
          <w:sz w:val="36"/>
          <w:szCs w:val="36"/>
        </w:rPr>
        <mc:AlternateContent>
          <mc:Choice Requires="wps">
            <w:drawing>
              <wp:anchor distT="0" distB="0" distL="114300" distR="114300" simplePos="0" relativeHeight="251660288" behindDoc="0" locked="0" layoutInCell="1" allowOverlap="1" wp14:anchorId="364D6735" wp14:editId="527D2CCD">
                <wp:simplePos x="0" y="0"/>
                <wp:positionH relativeFrom="column">
                  <wp:posOffset>4448175</wp:posOffset>
                </wp:positionH>
                <wp:positionV relativeFrom="paragraph">
                  <wp:posOffset>-297815</wp:posOffset>
                </wp:positionV>
                <wp:extent cx="1828800" cy="5429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828800" cy="542925"/>
                        </a:xfrm>
                        <a:prstGeom prst="rect">
                          <a:avLst/>
                        </a:prstGeom>
                        <a:noFill/>
                        <a:ln>
                          <a:noFill/>
                        </a:ln>
                        <a:effectLst/>
                      </wps:spPr>
                      <wps:txbx>
                        <w:txbxContent>
                          <w:p w:rsidR="00F82770" w:rsidRDefault="00F82770" w:rsidP="00F82770">
                            <w:pPr>
                              <w:pStyle w:val="Header"/>
                              <w:jc w:val="center"/>
                            </w:pPr>
                            <w: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NEWS</w:t>
                            </w:r>
                          </w:p>
                          <w:p w:rsidR="00F82770" w:rsidRDefault="00F82770" w:rsidP="00F827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4D6735" id="_x0000_t202" coordsize="21600,21600" o:spt="202" path="m,l,21600r21600,l21600,xe">
                <v:stroke joinstyle="miter"/>
                <v:path gradientshapeok="t" o:connecttype="rect"/>
              </v:shapetype>
              <v:shape id="Text Box 2" o:spid="_x0000_s1026" type="#_x0000_t202" style="position:absolute;margin-left:350.25pt;margin-top:-23.45pt;width:2in;height:42.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" filled="f" stroked="f">
                <v:textbox>
                  <w:txbxContent>
                    <w:p w:rsidR="00F82770" w:rsidRDefault="00F82770" w:rsidP="00F82770">
                      <w:pPr>
                        <w:pStyle w:val="Header"/>
                        <w:jc w:val="center"/>
                      </w:pPr>
                      <w: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NEWS</w:t>
                      </w:r>
                    </w:p>
                    <w:p w:rsidR="00F82770" w:rsidRDefault="00F82770" w:rsidP="00F82770"/>
                  </w:txbxContent>
                </v:textbox>
              </v:shape>
            </w:pict>
          </mc:Fallback>
        </mc:AlternateContent>
      </w:r>
      <w:r w:rsidRPr="004F0977">
        <w:rPr>
          <w:noProof/>
          <w:sz w:val="36"/>
          <w:szCs w:val="36"/>
        </w:rPr>
        <mc:AlternateContent>
          <mc:Choice Requires="wps">
            <w:drawing>
              <wp:anchor distT="0" distB="0" distL="114300" distR="114300" simplePos="0" relativeHeight="251661312" behindDoc="0" locked="0" layoutInCell="1" allowOverlap="1" wp14:anchorId="272C986E" wp14:editId="74E07346">
                <wp:simplePos x="0" y="0"/>
                <wp:positionH relativeFrom="column">
                  <wp:posOffset>1085850</wp:posOffset>
                </wp:positionH>
                <wp:positionV relativeFrom="paragraph">
                  <wp:posOffset>241935</wp:posOffset>
                </wp:positionV>
                <wp:extent cx="4876800" cy="0"/>
                <wp:effectExtent l="0" t="19050" r="19050" b="19050"/>
                <wp:wrapNone/>
                <wp:docPr id="3" name="Straight Connector 3"/>
                <wp:cNvGraphicFramePr/>
                <a:graphic xmlns:a="http://schemas.openxmlformats.org/drawingml/2006/main">
                  <a:graphicData uri="http://schemas.microsoft.com/office/word/2010/wordprocessingShape">
                    <wps:wsp>
                      <wps:cNvCnPr/>
                      <wps:spPr>
                        <a:xfrm flipV="1">
                          <a:off x="0" y="0"/>
                          <a:ext cx="4876800" cy="0"/>
                        </a:xfrm>
                        <a:prstGeom prst="line">
                          <a:avLst/>
                        </a:prstGeom>
                        <a:ln w="28575">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A6C0DD"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19.05pt" to="469.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" strokecolor="#4472c4 [3208]" strokeweight="2.25pt">
                <v:stroke joinstyle="miter"/>
              </v:line>
            </w:pict>
          </mc:Fallback>
        </mc:AlternateContent>
      </w:r>
      <w:r w:rsidRPr="004F0977">
        <w:rPr>
          <w:sz w:val="36"/>
          <w:szCs w:val="36"/>
        </w:rPr>
        <w:t>Illinois Commerce Commission</w:t>
      </w:r>
    </w:p>
    <w:p w:rsidR="00F82770" w:rsidRPr="00375903" w:rsidRDefault="00F82770" w:rsidP="00F82770">
      <w:pPr>
        <w:tabs>
          <w:tab w:val="right" w:pos="9360"/>
        </w:tabs>
        <w:rPr>
          <w:rFonts w:asciiTheme="minorHAnsi" w:hAnsiTheme="minorHAnsi"/>
          <w:b/>
          <w:sz w:val="22"/>
          <w:szCs w:val="22"/>
        </w:rPr>
      </w:pPr>
      <w:r w:rsidRPr="00375903">
        <w:rPr>
          <w:rFonts w:asciiTheme="minorHAnsi" w:hAnsiTheme="minorHAnsi"/>
          <w:b/>
          <w:sz w:val="22"/>
          <w:szCs w:val="22"/>
        </w:rPr>
        <w:t>For Immediate Release</w:t>
      </w:r>
      <w:r w:rsidRPr="00375903">
        <w:rPr>
          <w:rFonts w:asciiTheme="minorHAnsi" w:hAnsiTheme="minorHAnsi"/>
          <w:b/>
          <w:sz w:val="22"/>
          <w:szCs w:val="22"/>
        </w:rPr>
        <w:tab/>
      </w:r>
      <w:r w:rsidRPr="00375903">
        <w:rPr>
          <w:rFonts w:asciiTheme="minorHAnsi" w:hAnsiTheme="minorHAnsi"/>
          <w:sz w:val="22"/>
          <w:szCs w:val="22"/>
        </w:rPr>
        <w:t>Kelly Klopp</w:t>
      </w:r>
    </w:p>
    <w:p w:rsidR="00F82770" w:rsidRPr="00375903" w:rsidRDefault="00F82770" w:rsidP="00F82770">
      <w:pPr>
        <w:tabs>
          <w:tab w:val="right" w:pos="9360"/>
        </w:tabs>
        <w:rPr>
          <w:rFonts w:asciiTheme="minorHAnsi" w:hAnsiTheme="minorHAnsi"/>
          <w:sz w:val="22"/>
          <w:szCs w:val="22"/>
        </w:rPr>
      </w:pPr>
      <w:r w:rsidRPr="00375903">
        <w:rPr>
          <w:rFonts w:asciiTheme="minorHAnsi" w:hAnsiTheme="minorHAnsi"/>
          <w:sz w:val="22"/>
          <w:szCs w:val="22"/>
        </w:rPr>
        <w:t>June 16, 2015</w:t>
      </w:r>
      <w:r w:rsidRPr="00375903">
        <w:rPr>
          <w:rFonts w:asciiTheme="minorHAnsi" w:hAnsiTheme="minorHAnsi"/>
          <w:sz w:val="22"/>
          <w:szCs w:val="22"/>
        </w:rPr>
        <w:tab/>
        <w:t>312-</w:t>
      </w:r>
      <w:r w:rsidR="00375903">
        <w:rPr>
          <w:rFonts w:asciiTheme="minorHAnsi" w:hAnsiTheme="minorHAnsi"/>
          <w:sz w:val="22"/>
          <w:szCs w:val="22"/>
        </w:rPr>
        <w:t>814-2489</w:t>
      </w:r>
    </w:p>
    <w:p w:rsidR="00F82770" w:rsidRPr="00375903" w:rsidRDefault="00F82770" w:rsidP="00F82770">
      <w:pPr>
        <w:tabs>
          <w:tab w:val="right" w:pos="9360"/>
        </w:tabs>
        <w:rPr>
          <w:rFonts w:asciiTheme="minorHAnsi" w:hAnsiTheme="minorHAnsi"/>
          <w:sz w:val="22"/>
          <w:szCs w:val="22"/>
        </w:rPr>
      </w:pPr>
      <w:r w:rsidRPr="00375903">
        <w:rPr>
          <w:rFonts w:asciiTheme="minorHAnsi" w:hAnsiTheme="minorHAnsi"/>
          <w:sz w:val="22"/>
          <w:szCs w:val="22"/>
        </w:rPr>
        <w:tab/>
      </w:r>
      <w:hyperlink r:id="rId6" w:history="1">
        <w:r w:rsidRPr="00375903">
          <w:rPr>
            <w:rStyle w:val="Hyperlink"/>
            <w:rFonts w:asciiTheme="minorHAnsi" w:hAnsiTheme="minorHAnsi"/>
            <w:sz w:val="22"/>
            <w:szCs w:val="22"/>
          </w:rPr>
          <w:t>kklopp@icc.illinois.gov</w:t>
        </w:r>
      </w:hyperlink>
    </w:p>
    <w:p w:rsidR="00375903" w:rsidRDefault="00375903" w:rsidP="00F8277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asciiTheme="minorHAnsi" w:hAnsiTheme="minorHAnsi"/>
          <w:b/>
          <w:color w:val="FF0000"/>
          <w:sz w:val="22"/>
          <w:szCs w:val="22"/>
        </w:rPr>
      </w:pPr>
    </w:p>
    <w:p w:rsidR="006A07C7" w:rsidRDefault="006A07C7" w:rsidP="00021D7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asciiTheme="minorHAnsi" w:hAnsiTheme="minorHAnsi"/>
          <w:b/>
          <w:sz w:val="22"/>
          <w:szCs w:val="22"/>
        </w:rPr>
      </w:pPr>
    </w:p>
    <w:p w:rsidR="00021D75" w:rsidRPr="00375903" w:rsidRDefault="00021D75" w:rsidP="00021D7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asciiTheme="minorHAnsi" w:hAnsiTheme="minorHAnsi"/>
          <w:b/>
          <w:sz w:val="22"/>
          <w:szCs w:val="22"/>
        </w:rPr>
      </w:pPr>
      <w:r w:rsidRPr="00375903">
        <w:rPr>
          <w:rFonts w:asciiTheme="minorHAnsi" w:hAnsiTheme="minorHAnsi"/>
          <w:b/>
          <w:sz w:val="22"/>
          <w:szCs w:val="22"/>
        </w:rPr>
        <w:t>Illinois Commerce Commission Approves Settlement with Nordic Energy Services, LLC</w:t>
      </w:r>
    </w:p>
    <w:p w:rsidR="00021D75" w:rsidRPr="00375903" w:rsidRDefault="00021D75" w:rsidP="00021D7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asciiTheme="minorHAnsi" w:hAnsiTheme="minorHAnsi"/>
          <w:b/>
          <w:i/>
          <w:sz w:val="22"/>
          <w:szCs w:val="22"/>
        </w:rPr>
      </w:pPr>
      <w:r w:rsidRPr="00375903">
        <w:rPr>
          <w:rFonts w:asciiTheme="minorHAnsi" w:hAnsiTheme="minorHAnsi"/>
          <w:b/>
          <w:i/>
          <w:sz w:val="22"/>
          <w:szCs w:val="22"/>
        </w:rPr>
        <w:t xml:space="preserve">Settlement Creates a Fund for Customer Refunds and Includes New Consumer Protections </w:t>
      </w:r>
    </w:p>
    <w:p w:rsidR="00021D75" w:rsidRPr="00375903" w:rsidRDefault="00021D75" w:rsidP="00021D7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heme="minorHAnsi" w:hAnsiTheme="minorHAnsi"/>
          <w:i/>
          <w:sz w:val="22"/>
          <w:szCs w:val="22"/>
        </w:rPr>
      </w:pPr>
    </w:p>
    <w:p w:rsidR="00F82770" w:rsidRPr="00375903" w:rsidRDefault="00F82770" w:rsidP="00C67904">
      <w:pPr>
        <w:rPr>
          <w:rFonts w:asciiTheme="minorHAnsi" w:hAnsiTheme="minorHAnsi"/>
          <w:sz w:val="22"/>
          <w:szCs w:val="22"/>
        </w:rPr>
      </w:pPr>
    </w:p>
    <w:p w:rsidR="00021D75" w:rsidRPr="00375903" w:rsidRDefault="00021D75" w:rsidP="00C67904">
      <w:pPr>
        <w:rPr>
          <w:rFonts w:asciiTheme="minorHAnsi" w:hAnsiTheme="minorHAnsi"/>
          <w:sz w:val="22"/>
          <w:szCs w:val="22"/>
        </w:rPr>
      </w:pPr>
      <w:r w:rsidRPr="00375903">
        <w:rPr>
          <w:rFonts w:asciiTheme="minorHAnsi" w:hAnsiTheme="minorHAnsi"/>
          <w:sz w:val="22"/>
          <w:szCs w:val="22"/>
        </w:rPr>
        <w:t xml:space="preserve">Chicago, IL – The Illinois Commerce Commission today approved a settlement with </w:t>
      </w:r>
      <w:r w:rsidR="00C67904" w:rsidRPr="00375903">
        <w:rPr>
          <w:rFonts w:asciiTheme="minorHAnsi" w:hAnsiTheme="minorHAnsi"/>
          <w:sz w:val="22"/>
          <w:szCs w:val="22"/>
        </w:rPr>
        <w:t>Illinois</w:t>
      </w:r>
      <w:r w:rsidRPr="00375903">
        <w:rPr>
          <w:rFonts w:asciiTheme="minorHAnsi" w:hAnsiTheme="minorHAnsi"/>
          <w:sz w:val="22"/>
          <w:szCs w:val="22"/>
        </w:rPr>
        <w:t xml:space="preserve">-based </w:t>
      </w:r>
      <w:r w:rsidR="00F82770" w:rsidRPr="00375903">
        <w:rPr>
          <w:rFonts w:asciiTheme="minorHAnsi" w:hAnsiTheme="minorHAnsi"/>
          <w:sz w:val="22"/>
          <w:szCs w:val="22"/>
        </w:rPr>
        <w:t xml:space="preserve">alternative retail electric supplier </w:t>
      </w:r>
      <w:r w:rsidRPr="00375903">
        <w:rPr>
          <w:rFonts w:asciiTheme="minorHAnsi" w:hAnsiTheme="minorHAnsi"/>
          <w:sz w:val="22"/>
          <w:szCs w:val="22"/>
        </w:rPr>
        <w:t>Nordic Energy Servi</w:t>
      </w:r>
      <w:r w:rsidR="00F82770" w:rsidRPr="00375903">
        <w:rPr>
          <w:rFonts w:asciiTheme="minorHAnsi" w:hAnsiTheme="minorHAnsi"/>
          <w:sz w:val="22"/>
          <w:szCs w:val="22"/>
        </w:rPr>
        <w:t xml:space="preserve">ces, LLC.  The settlement </w:t>
      </w:r>
      <w:r w:rsidR="00334320" w:rsidRPr="00375903">
        <w:rPr>
          <w:rFonts w:asciiTheme="minorHAnsi" w:hAnsiTheme="minorHAnsi"/>
          <w:sz w:val="22"/>
          <w:szCs w:val="22"/>
        </w:rPr>
        <w:t xml:space="preserve">establishes </w:t>
      </w:r>
      <w:r w:rsidRPr="00375903">
        <w:rPr>
          <w:rFonts w:asciiTheme="minorHAnsi" w:hAnsiTheme="minorHAnsi"/>
          <w:sz w:val="22"/>
          <w:szCs w:val="22"/>
        </w:rPr>
        <w:t>a</w:t>
      </w:r>
      <w:r w:rsidR="00334320" w:rsidRPr="00375903">
        <w:rPr>
          <w:rFonts w:asciiTheme="minorHAnsi" w:hAnsiTheme="minorHAnsi"/>
          <w:sz w:val="22"/>
          <w:szCs w:val="22"/>
        </w:rPr>
        <w:t>n amount of</w:t>
      </w:r>
      <w:r w:rsidRPr="00375903">
        <w:rPr>
          <w:rFonts w:asciiTheme="minorHAnsi" w:hAnsiTheme="minorHAnsi"/>
          <w:sz w:val="22"/>
          <w:szCs w:val="22"/>
        </w:rPr>
        <w:t xml:space="preserve"> $310,800 </w:t>
      </w:r>
      <w:r w:rsidR="00334320" w:rsidRPr="00375903">
        <w:rPr>
          <w:rFonts w:asciiTheme="minorHAnsi" w:hAnsiTheme="minorHAnsi"/>
          <w:sz w:val="22"/>
          <w:szCs w:val="22"/>
        </w:rPr>
        <w:t xml:space="preserve">that must be refunded to eligible </w:t>
      </w:r>
      <w:r w:rsidRPr="00375903">
        <w:rPr>
          <w:rFonts w:asciiTheme="minorHAnsi" w:hAnsiTheme="minorHAnsi"/>
          <w:sz w:val="22"/>
          <w:szCs w:val="22"/>
        </w:rPr>
        <w:t>customer</w:t>
      </w:r>
      <w:r w:rsidR="00334320" w:rsidRPr="00375903">
        <w:rPr>
          <w:rFonts w:asciiTheme="minorHAnsi" w:hAnsiTheme="minorHAnsi"/>
          <w:sz w:val="22"/>
          <w:szCs w:val="22"/>
        </w:rPr>
        <w:t>s</w:t>
      </w:r>
      <w:r w:rsidRPr="00375903">
        <w:rPr>
          <w:rFonts w:asciiTheme="minorHAnsi" w:hAnsiTheme="minorHAnsi"/>
          <w:sz w:val="22"/>
          <w:szCs w:val="22"/>
        </w:rPr>
        <w:t xml:space="preserve"> and requires additional consumer protections governing Nordic Energy’s sales practices to residential and small commercial customers in Illinois.  </w:t>
      </w:r>
    </w:p>
    <w:p w:rsidR="00031BA1" w:rsidRPr="00375903" w:rsidRDefault="00031BA1" w:rsidP="00C67904">
      <w:pPr>
        <w:rPr>
          <w:rFonts w:asciiTheme="minorHAnsi" w:hAnsiTheme="minorHAnsi"/>
          <w:sz w:val="22"/>
          <w:szCs w:val="22"/>
        </w:rPr>
      </w:pPr>
    </w:p>
    <w:p w:rsidR="000A7170" w:rsidRPr="00375903" w:rsidRDefault="00031BA1" w:rsidP="00F8277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heme="minorHAnsi" w:hAnsiTheme="minorHAnsi"/>
          <w:sz w:val="22"/>
          <w:szCs w:val="22"/>
        </w:rPr>
      </w:pPr>
      <w:r w:rsidRPr="00375903">
        <w:rPr>
          <w:rFonts w:asciiTheme="minorHAnsi" w:hAnsiTheme="minorHAnsi"/>
          <w:sz w:val="22"/>
          <w:szCs w:val="22"/>
        </w:rPr>
        <w:t>“The Commission is pleased to have a resolution that provides remedies for affected customers and additional protections for consumers</w:t>
      </w:r>
      <w:r w:rsidR="00F82770" w:rsidRPr="00375903">
        <w:rPr>
          <w:rFonts w:asciiTheme="minorHAnsi" w:hAnsiTheme="minorHAnsi"/>
          <w:sz w:val="22"/>
          <w:szCs w:val="22"/>
        </w:rPr>
        <w:t xml:space="preserve"> in the future</w:t>
      </w:r>
      <w:r w:rsidRPr="00375903">
        <w:rPr>
          <w:rFonts w:asciiTheme="minorHAnsi" w:hAnsiTheme="minorHAnsi"/>
          <w:sz w:val="22"/>
          <w:szCs w:val="22"/>
        </w:rPr>
        <w:t xml:space="preserve">,” said </w:t>
      </w:r>
      <w:r w:rsidR="003F3799">
        <w:rPr>
          <w:rFonts w:asciiTheme="minorHAnsi" w:hAnsiTheme="minorHAnsi"/>
          <w:sz w:val="22"/>
          <w:szCs w:val="22"/>
        </w:rPr>
        <w:t>Commissioner Miguel del Valle</w:t>
      </w:r>
      <w:r w:rsidRPr="00375903">
        <w:rPr>
          <w:rFonts w:asciiTheme="minorHAnsi" w:hAnsiTheme="minorHAnsi"/>
          <w:sz w:val="22"/>
          <w:szCs w:val="22"/>
        </w:rPr>
        <w:t>. “</w:t>
      </w:r>
      <w:r w:rsidR="00F82770" w:rsidRPr="00375903">
        <w:rPr>
          <w:rFonts w:asciiTheme="minorHAnsi" w:hAnsiTheme="minorHAnsi"/>
          <w:sz w:val="22"/>
          <w:szCs w:val="22"/>
        </w:rPr>
        <w:t>The Commission and our s</w:t>
      </w:r>
      <w:r w:rsidR="000A7170" w:rsidRPr="00375903">
        <w:rPr>
          <w:rFonts w:asciiTheme="minorHAnsi" w:hAnsiTheme="minorHAnsi"/>
          <w:sz w:val="22"/>
          <w:szCs w:val="22"/>
        </w:rPr>
        <w:t>taff will continue our efforts to protect Illinois citizens and ensure a fair marketplace for energy.”</w:t>
      </w:r>
    </w:p>
    <w:p w:rsidR="00021D75" w:rsidRPr="00375903" w:rsidRDefault="00021D75" w:rsidP="00021D7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heme="minorHAnsi" w:hAnsiTheme="minorHAnsi"/>
          <w:sz w:val="22"/>
          <w:szCs w:val="22"/>
        </w:rPr>
      </w:pPr>
    </w:p>
    <w:p w:rsidR="00021D75" w:rsidRPr="00375903" w:rsidRDefault="00021D75" w:rsidP="00021D7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heme="minorHAnsi" w:hAnsiTheme="minorHAnsi"/>
          <w:sz w:val="22"/>
          <w:szCs w:val="22"/>
        </w:rPr>
      </w:pPr>
      <w:r w:rsidRPr="00375903">
        <w:rPr>
          <w:rFonts w:asciiTheme="minorHAnsi" w:hAnsiTheme="minorHAnsi"/>
          <w:sz w:val="22"/>
          <w:szCs w:val="22"/>
        </w:rPr>
        <w:t xml:space="preserve">The ICC launched a </w:t>
      </w:r>
      <w:r w:rsidR="00031BA1" w:rsidRPr="00375903">
        <w:rPr>
          <w:rFonts w:asciiTheme="minorHAnsi" w:hAnsiTheme="minorHAnsi"/>
          <w:sz w:val="22"/>
          <w:szCs w:val="22"/>
        </w:rPr>
        <w:t xml:space="preserve">formal docketed </w:t>
      </w:r>
      <w:r w:rsidRPr="00375903">
        <w:rPr>
          <w:rFonts w:asciiTheme="minorHAnsi" w:hAnsiTheme="minorHAnsi"/>
          <w:sz w:val="22"/>
          <w:szCs w:val="22"/>
        </w:rPr>
        <w:t>investigation into Nordic Energy’s sales tactics in February</w:t>
      </w:r>
      <w:r w:rsidR="00031BA1" w:rsidRPr="00375903">
        <w:rPr>
          <w:rFonts w:asciiTheme="minorHAnsi" w:hAnsiTheme="minorHAnsi"/>
          <w:sz w:val="22"/>
          <w:szCs w:val="22"/>
        </w:rPr>
        <w:t xml:space="preserve"> 2015</w:t>
      </w:r>
      <w:r w:rsidRPr="00375903">
        <w:rPr>
          <w:rFonts w:asciiTheme="minorHAnsi" w:hAnsiTheme="minorHAnsi"/>
          <w:sz w:val="22"/>
          <w:szCs w:val="22"/>
        </w:rPr>
        <w:t>. The settlement approved by the Commission today requires Nordic Energy to take several steps, including the following:</w:t>
      </w:r>
    </w:p>
    <w:p w:rsidR="00021D75" w:rsidRPr="00375903" w:rsidRDefault="00021D75" w:rsidP="00021D75">
      <w:pPr>
        <w:autoSpaceDE w:val="0"/>
        <w:autoSpaceDN w:val="0"/>
        <w:rPr>
          <w:rFonts w:asciiTheme="minorHAnsi" w:hAnsiTheme="minorHAnsi"/>
          <w:sz w:val="22"/>
          <w:szCs w:val="22"/>
        </w:rPr>
      </w:pPr>
    </w:p>
    <w:p w:rsidR="000C309B" w:rsidRPr="00375903" w:rsidRDefault="001C1F7A" w:rsidP="000C309B">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heme="minorHAnsi" w:hAnsiTheme="minorHAnsi"/>
          <w:sz w:val="22"/>
          <w:szCs w:val="22"/>
        </w:rPr>
      </w:pPr>
      <w:r w:rsidRPr="00375903">
        <w:rPr>
          <w:rFonts w:asciiTheme="minorHAnsi" w:hAnsiTheme="minorHAnsi"/>
          <w:sz w:val="22"/>
          <w:szCs w:val="22"/>
        </w:rPr>
        <w:t xml:space="preserve">Create a </w:t>
      </w:r>
      <w:r w:rsidR="00590976">
        <w:rPr>
          <w:rFonts w:asciiTheme="minorHAnsi" w:hAnsiTheme="minorHAnsi"/>
          <w:sz w:val="22"/>
          <w:szCs w:val="22"/>
        </w:rPr>
        <w:t>settlement amount</w:t>
      </w:r>
      <w:r w:rsidRPr="00375903">
        <w:rPr>
          <w:rFonts w:asciiTheme="minorHAnsi" w:hAnsiTheme="minorHAnsi"/>
          <w:sz w:val="22"/>
          <w:szCs w:val="22"/>
        </w:rPr>
        <w:t xml:space="preserve"> of $310,800 from which to refund</w:t>
      </w:r>
      <w:r w:rsidR="00021D75" w:rsidRPr="00375903">
        <w:rPr>
          <w:rFonts w:asciiTheme="minorHAnsi" w:hAnsiTheme="minorHAnsi"/>
          <w:sz w:val="22"/>
          <w:szCs w:val="22"/>
        </w:rPr>
        <w:t xml:space="preserve"> all potentially affected current and former customers of the company in Illinois</w:t>
      </w:r>
      <w:r w:rsidR="00F82770" w:rsidRPr="00375903">
        <w:rPr>
          <w:rFonts w:asciiTheme="minorHAnsi" w:hAnsiTheme="minorHAnsi"/>
          <w:sz w:val="22"/>
          <w:szCs w:val="22"/>
        </w:rPr>
        <w:t xml:space="preserve">.  Customers will be notified by Nordic that they </w:t>
      </w:r>
      <w:r w:rsidR="00021D75" w:rsidRPr="00375903">
        <w:rPr>
          <w:rFonts w:asciiTheme="minorHAnsi" w:hAnsiTheme="minorHAnsi"/>
          <w:sz w:val="22"/>
          <w:szCs w:val="22"/>
        </w:rPr>
        <w:t>may be eligible for a refund.</w:t>
      </w:r>
    </w:p>
    <w:p w:rsidR="00021D75" w:rsidRPr="00375903" w:rsidRDefault="00F82770" w:rsidP="000C309B">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heme="minorHAnsi" w:hAnsiTheme="minorHAnsi"/>
          <w:sz w:val="22"/>
          <w:szCs w:val="22"/>
        </w:rPr>
      </w:pPr>
      <w:r w:rsidRPr="00375903">
        <w:rPr>
          <w:rFonts w:asciiTheme="minorHAnsi" w:hAnsiTheme="minorHAnsi"/>
          <w:sz w:val="22"/>
          <w:szCs w:val="22"/>
        </w:rPr>
        <w:t>Nordic</w:t>
      </w:r>
      <w:r w:rsidR="00021D75" w:rsidRPr="00375903">
        <w:rPr>
          <w:rFonts w:asciiTheme="minorHAnsi" w:hAnsiTheme="minorHAnsi"/>
          <w:sz w:val="22"/>
          <w:szCs w:val="22"/>
        </w:rPr>
        <w:t xml:space="preserve"> agrees to additional consumer protections that apply to its residential and</w:t>
      </w:r>
      <w:r w:rsidRPr="00375903">
        <w:rPr>
          <w:rFonts w:asciiTheme="minorHAnsi" w:hAnsiTheme="minorHAnsi"/>
          <w:sz w:val="22"/>
          <w:szCs w:val="22"/>
        </w:rPr>
        <w:t xml:space="preserve"> </w:t>
      </w:r>
      <w:r w:rsidR="00021D75" w:rsidRPr="00375903">
        <w:rPr>
          <w:rFonts w:asciiTheme="minorHAnsi" w:hAnsiTheme="minorHAnsi"/>
          <w:sz w:val="22"/>
          <w:szCs w:val="22"/>
        </w:rPr>
        <w:t xml:space="preserve">small commercial </w:t>
      </w:r>
      <w:r w:rsidR="00031BA1" w:rsidRPr="00375903">
        <w:rPr>
          <w:rFonts w:asciiTheme="minorHAnsi" w:hAnsiTheme="minorHAnsi"/>
          <w:sz w:val="22"/>
          <w:szCs w:val="22"/>
        </w:rPr>
        <w:t>telemarketing</w:t>
      </w:r>
      <w:r w:rsidR="00021D75" w:rsidRPr="00375903">
        <w:rPr>
          <w:rFonts w:asciiTheme="minorHAnsi" w:hAnsiTheme="minorHAnsi"/>
          <w:sz w:val="22"/>
          <w:szCs w:val="22"/>
        </w:rPr>
        <w:t xml:space="preserve"> and </w:t>
      </w:r>
      <w:r w:rsidR="00031BA1" w:rsidRPr="00375903">
        <w:rPr>
          <w:rFonts w:asciiTheme="minorHAnsi" w:hAnsiTheme="minorHAnsi"/>
          <w:sz w:val="22"/>
          <w:szCs w:val="22"/>
        </w:rPr>
        <w:t xml:space="preserve">door-to-door </w:t>
      </w:r>
      <w:r w:rsidR="00021D75" w:rsidRPr="00375903">
        <w:rPr>
          <w:rFonts w:asciiTheme="minorHAnsi" w:hAnsiTheme="minorHAnsi"/>
          <w:sz w:val="22"/>
          <w:szCs w:val="22"/>
        </w:rPr>
        <w:t>sales activity in Illinois, including recording and retention of telemarking calls</w:t>
      </w:r>
      <w:r w:rsidR="00031BA1" w:rsidRPr="00375903">
        <w:rPr>
          <w:rFonts w:asciiTheme="minorHAnsi" w:hAnsiTheme="minorHAnsi"/>
          <w:sz w:val="22"/>
          <w:szCs w:val="22"/>
        </w:rPr>
        <w:t xml:space="preserve"> and multi-step door-to-door sales verification process</w:t>
      </w:r>
      <w:r w:rsidR="00021D75" w:rsidRPr="00375903">
        <w:rPr>
          <w:rFonts w:asciiTheme="minorHAnsi" w:hAnsiTheme="minorHAnsi"/>
          <w:sz w:val="22"/>
          <w:szCs w:val="22"/>
        </w:rPr>
        <w:t xml:space="preserve">. </w:t>
      </w:r>
    </w:p>
    <w:p w:rsidR="000C309B" w:rsidRPr="00375903" w:rsidRDefault="000C309B" w:rsidP="00C679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780"/>
        <w:rPr>
          <w:rFonts w:asciiTheme="minorHAnsi" w:hAnsiTheme="minorHAnsi"/>
          <w:sz w:val="22"/>
          <w:szCs w:val="22"/>
        </w:rPr>
      </w:pPr>
    </w:p>
    <w:p w:rsidR="00021D75" w:rsidRPr="006A07C7" w:rsidRDefault="00021D75" w:rsidP="006A07C7">
      <w:pPr>
        <w:rPr>
          <w:sz w:val="22"/>
          <w:szCs w:val="22"/>
        </w:rPr>
      </w:pPr>
      <w:r w:rsidRPr="006A07C7">
        <w:rPr>
          <w:rFonts w:asciiTheme="minorHAnsi" w:hAnsiTheme="minorHAnsi"/>
          <w:sz w:val="22"/>
          <w:szCs w:val="22"/>
        </w:rPr>
        <w:t>Customers who believe they may be eligible for a refund can contact Nordic Energy at</w:t>
      </w:r>
      <w:r w:rsidR="00C67904" w:rsidRPr="006A07C7">
        <w:rPr>
          <w:rStyle w:val="Strong"/>
          <w:rFonts w:asciiTheme="minorHAnsi" w:hAnsiTheme="minorHAnsi"/>
          <w:b w:val="0"/>
          <w:sz w:val="22"/>
          <w:szCs w:val="22"/>
          <w:lang w:val="en"/>
        </w:rPr>
        <w:t xml:space="preserve"> </w:t>
      </w:r>
      <w:r w:rsidR="006A07C7" w:rsidRPr="006A07C7">
        <w:rPr>
          <w:rFonts w:asciiTheme="minorHAnsi" w:hAnsiTheme="minorHAnsi"/>
          <w:sz w:val="22"/>
          <w:szCs w:val="22"/>
        </w:rPr>
        <w:t>888-339-6178</w:t>
      </w:r>
      <w:r w:rsidRPr="006A07C7">
        <w:rPr>
          <w:rFonts w:asciiTheme="minorHAnsi" w:hAnsiTheme="minorHAnsi"/>
          <w:b/>
          <w:sz w:val="22"/>
          <w:szCs w:val="22"/>
        </w:rPr>
        <w:t>.</w:t>
      </w:r>
      <w:r w:rsidRPr="00375903">
        <w:rPr>
          <w:rFonts w:asciiTheme="minorHAnsi" w:hAnsiTheme="minorHAnsi"/>
          <w:sz w:val="22"/>
          <w:szCs w:val="22"/>
        </w:rPr>
        <w:t xml:space="preserve">  Questions or concerns can also be directed to the Illinois Commerce Commission Consumer Services Division at 800-524-0795 or through the “file a complaint” link at </w:t>
      </w:r>
      <w:hyperlink r:id="rId7" w:history="1">
        <w:r w:rsidRPr="00375903">
          <w:rPr>
            <w:rStyle w:val="Hyperlink"/>
            <w:rFonts w:asciiTheme="minorHAnsi" w:hAnsiTheme="minorHAnsi"/>
            <w:sz w:val="22"/>
            <w:szCs w:val="22"/>
          </w:rPr>
          <w:t>www.icc.illinois.gov</w:t>
        </w:r>
      </w:hyperlink>
      <w:r w:rsidRPr="00375903">
        <w:rPr>
          <w:rFonts w:asciiTheme="minorHAnsi" w:hAnsiTheme="minorHAnsi"/>
          <w:sz w:val="22"/>
          <w:szCs w:val="22"/>
        </w:rPr>
        <w:t xml:space="preserve">.    </w:t>
      </w:r>
    </w:p>
    <w:p w:rsidR="002C464D" w:rsidRPr="00375903" w:rsidRDefault="002C464D" w:rsidP="00021D7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heme="minorHAnsi" w:hAnsiTheme="minorHAnsi"/>
          <w:sz w:val="22"/>
          <w:szCs w:val="22"/>
        </w:rPr>
      </w:pPr>
    </w:p>
    <w:p w:rsidR="002C464D" w:rsidRPr="00375903" w:rsidRDefault="00375903" w:rsidP="00021D7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heme="minorHAnsi" w:hAnsiTheme="minorHAnsi"/>
          <w:sz w:val="22"/>
          <w:szCs w:val="22"/>
        </w:rPr>
      </w:pPr>
      <w:r>
        <w:rPr>
          <w:rFonts w:asciiTheme="minorHAnsi" w:hAnsiTheme="minorHAnsi"/>
          <w:sz w:val="22"/>
          <w:szCs w:val="22"/>
        </w:rPr>
        <w:t>The case is Docket No. 15-0139 and can be vie</w:t>
      </w:r>
      <w:r w:rsidR="001F5C2C">
        <w:rPr>
          <w:rFonts w:asciiTheme="minorHAnsi" w:hAnsiTheme="minorHAnsi"/>
          <w:sz w:val="22"/>
          <w:szCs w:val="22"/>
        </w:rPr>
        <w:t>wed through the Commission’s e-D</w:t>
      </w:r>
      <w:r>
        <w:rPr>
          <w:rFonts w:asciiTheme="minorHAnsi" w:hAnsiTheme="minorHAnsi"/>
          <w:sz w:val="22"/>
          <w:szCs w:val="22"/>
        </w:rPr>
        <w:t xml:space="preserve">ocket system online at </w:t>
      </w:r>
      <w:hyperlink r:id="rId8" w:history="1">
        <w:r w:rsidRPr="00B52C82">
          <w:rPr>
            <w:rStyle w:val="Hyperlink"/>
            <w:rFonts w:asciiTheme="minorHAnsi" w:hAnsiTheme="minorHAnsi"/>
            <w:sz w:val="22"/>
            <w:szCs w:val="22"/>
          </w:rPr>
          <w:t>www.icc.illinois.gov/e-Docket</w:t>
        </w:r>
      </w:hyperlink>
      <w:r>
        <w:rPr>
          <w:rFonts w:asciiTheme="minorHAnsi" w:hAnsiTheme="minorHAnsi"/>
          <w:sz w:val="22"/>
          <w:szCs w:val="22"/>
        </w:rPr>
        <w:t xml:space="preserve">.  </w:t>
      </w:r>
    </w:p>
    <w:p w:rsidR="00021D75" w:rsidRPr="00375903" w:rsidRDefault="00021D75" w:rsidP="00021D7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heme="minorHAnsi" w:hAnsiTheme="minorHAnsi"/>
          <w:sz w:val="22"/>
          <w:szCs w:val="22"/>
        </w:rPr>
      </w:pPr>
    </w:p>
    <w:p w:rsidR="00021D75" w:rsidRPr="00375903" w:rsidRDefault="00021D75" w:rsidP="002C464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asciiTheme="minorHAnsi" w:hAnsiTheme="minorHAnsi"/>
          <w:sz w:val="22"/>
          <w:szCs w:val="22"/>
        </w:rPr>
      </w:pPr>
      <w:r w:rsidRPr="00375903">
        <w:rPr>
          <w:rFonts w:asciiTheme="minorHAnsi" w:hAnsiTheme="minorHAnsi"/>
          <w:sz w:val="22"/>
          <w:szCs w:val="22"/>
        </w:rPr>
        <w:t>###</w:t>
      </w:r>
    </w:p>
    <w:p w:rsidR="00021D75" w:rsidRPr="00375903" w:rsidRDefault="00021D75" w:rsidP="00021D7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heme="minorHAnsi" w:hAnsiTheme="minorHAnsi"/>
          <w:b/>
          <w:i/>
          <w:sz w:val="22"/>
          <w:szCs w:val="22"/>
        </w:rPr>
      </w:pPr>
    </w:p>
    <w:p w:rsidR="00021D75" w:rsidRPr="00375903" w:rsidRDefault="00021D75" w:rsidP="00021D7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heme="minorHAnsi" w:hAnsiTheme="minorHAnsi"/>
          <w:b/>
          <w:i/>
          <w:sz w:val="22"/>
          <w:szCs w:val="22"/>
        </w:rPr>
      </w:pPr>
    </w:p>
    <w:p w:rsidR="00375903" w:rsidRDefault="00375903">
      <w:pPr>
        <w:spacing w:after="160" w:line="259" w:lineRule="auto"/>
        <w:rPr>
          <w:rFonts w:asciiTheme="minorHAnsi" w:hAnsiTheme="minorHAnsi"/>
          <w:b/>
          <w:i/>
          <w:sz w:val="22"/>
          <w:szCs w:val="22"/>
        </w:rPr>
      </w:pPr>
    </w:p>
    <w:p w:rsidR="00021D75" w:rsidRPr="00375903" w:rsidRDefault="00021D75" w:rsidP="00021D7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heme="minorHAnsi" w:hAnsiTheme="minorHAnsi"/>
          <w:b/>
          <w:i/>
          <w:sz w:val="22"/>
          <w:szCs w:val="22"/>
        </w:rPr>
      </w:pPr>
      <w:r w:rsidRPr="00375903">
        <w:rPr>
          <w:rFonts w:asciiTheme="minorHAnsi" w:hAnsiTheme="minorHAnsi"/>
          <w:b/>
          <w:i/>
          <w:sz w:val="22"/>
          <w:szCs w:val="22"/>
        </w:rPr>
        <w:t>About the Illinois Commerce Commission</w:t>
      </w:r>
    </w:p>
    <w:p w:rsidR="00021D75" w:rsidRPr="00375903" w:rsidRDefault="00021D75" w:rsidP="00021D7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heme="minorHAnsi" w:hAnsiTheme="minorHAnsi"/>
          <w:sz w:val="22"/>
          <w:szCs w:val="22"/>
        </w:rPr>
      </w:pPr>
      <w:r w:rsidRPr="00375903">
        <w:rPr>
          <w:rFonts w:asciiTheme="minorHAnsi" w:hAnsiTheme="minorHAnsi"/>
          <w:sz w:val="22"/>
          <w:szCs w:val="22"/>
        </w:rPr>
        <w:t xml:space="preserve">The Illinois Commerce Commission’s mission is to pursue an appropriate balance between the interests of consumers and existing and emerging service providers to ensure the provision of adequate, efficient, reliable, safe and least-cost public utility services.  The Commission pursues this mission through three bureaus:  the Consumer Services Bureau provides educational information on utility issues, resolves customer/utility disputes and develops rules on utility service and consumer protection; the Public Utility Bureau focuses on financial and operational analysis, policy development, public safety and enforcement activities related to electric, natural gas, water, sewer and telecommunications companies; the Transportation Bureau includes trucking insurance and registration, railroad safety, relocation towing, safety towing and household goods moving company enforcement activities.  The ICC’s five commissioners are appointed by the Governor and approved by the Illinois State Senate for five-year terms.  </w:t>
      </w:r>
    </w:p>
    <w:p w:rsidR="00466549" w:rsidRPr="00375903" w:rsidRDefault="00466549">
      <w:pPr>
        <w:rPr>
          <w:rFonts w:asciiTheme="minorHAnsi" w:hAnsiTheme="minorHAnsi"/>
          <w:sz w:val="22"/>
          <w:szCs w:val="22"/>
        </w:rPr>
      </w:pPr>
    </w:p>
    <w:sectPr w:rsidR="00466549" w:rsidRPr="003759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27170"/>
    <w:multiLevelType w:val="hybridMultilevel"/>
    <w:tmpl w:val="3FA27A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D75"/>
    <w:rsid w:val="00006B56"/>
    <w:rsid w:val="00021D75"/>
    <w:rsid w:val="00031BA1"/>
    <w:rsid w:val="000A7170"/>
    <w:rsid w:val="000C309B"/>
    <w:rsid w:val="00165EEE"/>
    <w:rsid w:val="00192149"/>
    <w:rsid w:val="001C1F7A"/>
    <w:rsid w:val="001F5C2C"/>
    <w:rsid w:val="002C464D"/>
    <w:rsid w:val="002C7DF1"/>
    <w:rsid w:val="00334320"/>
    <w:rsid w:val="00375903"/>
    <w:rsid w:val="003E398E"/>
    <w:rsid w:val="003F3799"/>
    <w:rsid w:val="00466549"/>
    <w:rsid w:val="00507FC4"/>
    <w:rsid w:val="00590976"/>
    <w:rsid w:val="006A07C7"/>
    <w:rsid w:val="00786FC7"/>
    <w:rsid w:val="00C67904"/>
    <w:rsid w:val="00F174DD"/>
    <w:rsid w:val="00F82770"/>
    <w:rsid w:val="00FB6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1DF6B-8A3A-4BC4-91A3-E72E4E61B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D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1D75"/>
    <w:rPr>
      <w:color w:val="0000FF"/>
      <w:u w:val="single"/>
    </w:rPr>
  </w:style>
  <w:style w:type="character" w:styleId="Strong">
    <w:name w:val="Strong"/>
    <w:uiPriority w:val="22"/>
    <w:qFormat/>
    <w:rsid w:val="00021D75"/>
    <w:rPr>
      <w:b/>
      <w:bCs/>
    </w:rPr>
  </w:style>
  <w:style w:type="paragraph" w:styleId="BalloonText">
    <w:name w:val="Balloon Text"/>
    <w:basedOn w:val="Normal"/>
    <w:link w:val="BalloonTextChar"/>
    <w:uiPriority w:val="99"/>
    <w:semiHidden/>
    <w:unhideWhenUsed/>
    <w:rsid w:val="00031B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BA1"/>
    <w:rPr>
      <w:rFonts w:ascii="Segoe UI" w:eastAsia="Times New Roman" w:hAnsi="Segoe UI" w:cs="Segoe UI"/>
      <w:sz w:val="18"/>
      <w:szCs w:val="18"/>
    </w:rPr>
  </w:style>
  <w:style w:type="paragraph" w:styleId="Header">
    <w:name w:val="header"/>
    <w:basedOn w:val="Normal"/>
    <w:link w:val="HeaderChar"/>
    <w:uiPriority w:val="99"/>
    <w:unhideWhenUsed/>
    <w:rsid w:val="00F8277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82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542653">
      <w:bodyDiv w:val="1"/>
      <w:marLeft w:val="0"/>
      <w:marRight w:val="0"/>
      <w:marTop w:val="0"/>
      <w:marBottom w:val="0"/>
      <w:divBdr>
        <w:top w:val="none" w:sz="0" w:space="0" w:color="auto"/>
        <w:left w:val="none" w:sz="0" w:space="0" w:color="auto"/>
        <w:bottom w:val="none" w:sz="0" w:space="0" w:color="auto"/>
        <w:right w:val="none" w:sz="0" w:space="0" w:color="auto"/>
      </w:divBdr>
    </w:div>
    <w:div w:id="141397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c.illinois.gov/e-Docket" TargetMode="External"/><Relationship Id="rId3" Type="http://schemas.openxmlformats.org/officeDocument/2006/relationships/settings" Target="settings.xml"/><Relationship Id="rId7" Type="http://schemas.openxmlformats.org/officeDocument/2006/relationships/hyperlink" Target="http://www.icc.illinoi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klopp@icc.illinois.go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Illinois Commerce Commission</Company>
  <LinksUpToDate>false</LinksUpToDate>
  <CharactersWithSpaces>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Harvell, Diane</dc:creator>
  <cp:keywords/>
  <dc:description/>
  <cp:lastModifiedBy>Harvell, Diane</cp:lastModifiedBy>
  <cp:revision>2</cp:revision>
  <cp:lastPrinted>2015-06-15T16:16:00Z</cp:lastPrinted>
  <dcterms:created xsi:type="dcterms:W3CDTF">2015-06-16T16:28:00Z</dcterms:created>
  <dcterms:modified xsi:type="dcterms:W3CDTF">2015-06-16T16:28:00Z</dcterms:modified>
</cp:coreProperties>
</file>